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137" w:rsidRPr="008A053C" w:rsidRDefault="008A053C" w:rsidP="007E5137">
      <w:pPr>
        <w:rPr>
          <w:b/>
        </w:rPr>
      </w:pPr>
      <w:bookmarkStart w:id="0" w:name="_GoBack"/>
      <w:r w:rsidRPr="008A053C">
        <w:rPr>
          <w:b/>
        </w:rPr>
        <w:t>Rapporteren bij kwetsbare groepen</w:t>
      </w:r>
    </w:p>
    <w:bookmarkEnd w:id="0"/>
    <w:p w:rsidR="008A053C" w:rsidRDefault="008A053C" w:rsidP="007E5137"/>
    <w:tbl>
      <w:tblPr>
        <w:tblStyle w:val="Tabelraster"/>
        <w:tblW w:w="0" w:type="auto"/>
        <w:tblLook w:val="04A0" w:firstRow="1" w:lastRow="0" w:firstColumn="1" w:lastColumn="0" w:noHBand="0" w:noVBand="1"/>
      </w:tblPr>
      <w:tblGrid>
        <w:gridCol w:w="4583"/>
        <w:gridCol w:w="4583"/>
      </w:tblGrid>
      <w:tr w:rsidR="008A053C" w:rsidTr="008A053C">
        <w:tc>
          <w:tcPr>
            <w:tcW w:w="4583" w:type="dxa"/>
          </w:tcPr>
          <w:p w:rsidR="008A053C" w:rsidRDefault="008A053C" w:rsidP="007E5137">
            <w:r>
              <w:t>16:30-17:00</w:t>
            </w:r>
          </w:p>
        </w:tc>
        <w:tc>
          <w:tcPr>
            <w:tcW w:w="4583" w:type="dxa"/>
          </w:tcPr>
          <w:p w:rsidR="008A053C" w:rsidRDefault="008A053C" w:rsidP="007E5137">
            <w:r>
              <w:t>Inbellen</w:t>
            </w:r>
          </w:p>
        </w:tc>
      </w:tr>
      <w:tr w:rsidR="008A053C" w:rsidTr="008A053C">
        <w:tc>
          <w:tcPr>
            <w:tcW w:w="4583" w:type="dxa"/>
          </w:tcPr>
          <w:p w:rsidR="008A053C" w:rsidRDefault="008A053C" w:rsidP="007E5137">
            <w:r>
              <w:t>17:00-17:55</w:t>
            </w:r>
          </w:p>
        </w:tc>
        <w:tc>
          <w:tcPr>
            <w:tcW w:w="4583" w:type="dxa"/>
          </w:tcPr>
          <w:p w:rsidR="008A053C" w:rsidRDefault="008A053C" w:rsidP="007E5137">
            <w:r>
              <w:t>Deel 1: hoe rapporteren</w:t>
            </w:r>
          </w:p>
        </w:tc>
      </w:tr>
      <w:tr w:rsidR="008A053C" w:rsidTr="008A053C">
        <w:tc>
          <w:tcPr>
            <w:tcW w:w="4583" w:type="dxa"/>
          </w:tcPr>
          <w:p w:rsidR="008A053C" w:rsidRDefault="008A053C" w:rsidP="007E5137">
            <w:r>
              <w:t>17:55 – 18:00</w:t>
            </w:r>
          </w:p>
        </w:tc>
        <w:tc>
          <w:tcPr>
            <w:tcW w:w="4583" w:type="dxa"/>
          </w:tcPr>
          <w:p w:rsidR="008A053C" w:rsidRDefault="008A053C" w:rsidP="007E5137">
            <w:r>
              <w:t>pauze</w:t>
            </w:r>
          </w:p>
        </w:tc>
      </w:tr>
      <w:tr w:rsidR="008A053C" w:rsidTr="008A053C">
        <w:tc>
          <w:tcPr>
            <w:tcW w:w="4583" w:type="dxa"/>
          </w:tcPr>
          <w:p w:rsidR="008A053C" w:rsidRDefault="008A053C" w:rsidP="007E5137">
            <w:r>
              <w:t>18:00 – 18:55</w:t>
            </w:r>
          </w:p>
        </w:tc>
        <w:tc>
          <w:tcPr>
            <w:tcW w:w="4583" w:type="dxa"/>
          </w:tcPr>
          <w:p w:rsidR="008A053C" w:rsidRDefault="008A053C" w:rsidP="007E5137">
            <w:r>
              <w:t xml:space="preserve">Deel 2: wettelijke kaders </w:t>
            </w:r>
            <w:proofErr w:type="spellStart"/>
            <w:r>
              <w:t>adh</w:t>
            </w:r>
            <w:proofErr w:type="spellEnd"/>
            <w:r>
              <w:t xml:space="preserve"> casuïstiek</w:t>
            </w:r>
          </w:p>
        </w:tc>
      </w:tr>
      <w:tr w:rsidR="008A053C" w:rsidTr="008A053C">
        <w:tc>
          <w:tcPr>
            <w:tcW w:w="4583" w:type="dxa"/>
          </w:tcPr>
          <w:p w:rsidR="008A053C" w:rsidRDefault="008A053C" w:rsidP="007E5137">
            <w:r>
              <w:t>18:55 – 19:00</w:t>
            </w:r>
          </w:p>
        </w:tc>
        <w:tc>
          <w:tcPr>
            <w:tcW w:w="4583" w:type="dxa"/>
          </w:tcPr>
          <w:p w:rsidR="008A053C" w:rsidRDefault="008A053C" w:rsidP="007E5137">
            <w:r>
              <w:t>pauze</w:t>
            </w:r>
          </w:p>
        </w:tc>
      </w:tr>
      <w:tr w:rsidR="008A053C" w:rsidTr="008A053C">
        <w:tc>
          <w:tcPr>
            <w:tcW w:w="4583" w:type="dxa"/>
          </w:tcPr>
          <w:p w:rsidR="008A053C" w:rsidRDefault="008A053C" w:rsidP="007E5137">
            <w:r>
              <w:t>19:00 – 19:55</w:t>
            </w:r>
          </w:p>
        </w:tc>
        <w:tc>
          <w:tcPr>
            <w:tcW w:w="4583" w:type="dxa"/>
          </w:tcPr>
          <w:p w:rsidR="008A053C" w:rsidRDefault="008A053C" w:rsidP="007E5137">
            <w:r>
              <w:t xml:space="preserve">Deel 3: </w:t>
            </w:r>
          </w:p>
        </w:tc>
      </w:tr>
      <w:tr w:rsidR="008A053C" w:rsidTr="008A053C">
        <w:tc>
          <w:tcPr>
            <w:tcW w:w="4583" w:type="dxa"/>
          </w:tcPr>
          <w:p w:rsidR="008A053C" w:rsidRDefault="008A053C" w:rsidP="007E5137">
            <w:r>
              <w:t>19:55 – 20:00</w:t>
            </w:r>
          </w:p>
        </w:tc>
        <w:tc>
          <w:tcPr>
            <w:tcW w:w="4583" w:type="dxa"/>
          </w:tcPr>
          <w:p w:rsidR="008A053C" w:rsidRDefault="00A5300C" w:rsidP="007E5137">
            <w:r>
              <w:t>Discussie en afsluiting</w:t>
            </w:r>
          </w:p>
        </w:tc>
      </w:tr>
    </w:tbl>
    <w:p w:rsidR="008A053C" w:rsidRDefault="008A053C" w:rsidP="007E5137"/>
    <w:p w:rsidR="008A053C" w:rsidRDefault="00A5300C" w:rsidP="007E5137">
      <w:r>
        <w:t xml:space="preserve">Deel 1: Huisarts Greetje Carlier zal praktische invulling geven aan dossiervorming. Wat is verplicht om te documenteren </w:t>
      </w:r>
      <w:proofErr w:type="spellStart"/>
      <w:r>
        <w:t>nav</w:t>
      </w:r>
      <w:proofErr w:type="spellEnd"/>
      <w:r>
        <w:t xml:space="preserve"> patiëntencontact. Hoe schrijf je een beknopte maar volledige anamnese. Hoe vul je SOEP goed in. Wat vul je minimaal in bij O? ABCDE? Wat schrijf je aan observaties op. Hoe kies je de juiste ICPC code. Wat is een juiste conclusie of beleid. Waar zet je je DD?</w:t>
      </w:r>
    </w:p>
    <w:p w:rsidR="008A053C" w:rsidRDefault="008A053C" w:rsidP="007E5137"/>
    <w:p w:rsidR="008A053C" w:rsidRDefault="00A5300C" w:rsidP="007E5137">
      <w:r>
        <w:t>Deel 2+3</w:t>
      </w:r>
    </w:p>
    <w:p w:rsidR="008A053C" w:rsidRPr="008A053C" w:rsidRDefault="008A053C" w:rsidP="007E5137">
      <w:pPr>
        <w:rPr>
          <w:rFonts w:eastAsia="Times New Roman"/>
        </w:rPr>
      </w:pPr>
      <w:r>
        <w:rPr>
          <w:rFonts w:eastAsia="Times New Roman"/>
        </w:rPr>
        <w:t xml:space="preserve">Mijn voorstel is dat we aan de hand van drie casus stil staan bij jullie dossiervoering en de rechten van de betrokkene ( of zijn vertegenwoordiger) en verstrekking van informatie aan derden, op grond van onder meer de WGBO, AVG/ UAVG en de Wet aanvullende bepalingen verwerking persoonsgegevens in de zorg. Met een korte inleiding over het juridisch kader ter opfrissing van de basiskennis en ruimte voor vragen schat ik in dat we hiervoor twee uur nodig hebben Mijn ervaring is dat we bij een interactieve behandeling zeker een half uur per praktijkgeval moeten rekenen. </w:t>
      </w:r>
      <w:r>
        <w:rPr>
          <w:rFonts w:eastAsia="Times New Roman"/>
        </w:rPr>
        <w:br/>
      </w:r>
      <w:r>
        <w:rPr>
          <w:rFonts w:eastAsia="Times New Roman"/>
        </w:rPr>
        <w:br/>
        <w:t xml:space="preserve">De door jou voorgestelde casus betreffende een psychiatrisch patiënt, die jullie na arrestatie hebben onderzocht en die zijn gegevens wil inzien en de casus over de rapportage op basis van een onderzoek van een slachtoffer van een zedenmisdrijf lijken mij hiervoor geschikt. </w:t>
      </w:r>
      <w:r>
        <w:rPr>
          <w:rFonts w:eastAsia="Times New Roman"/>
        </w:rPr>
        <w:br/>
      </w:r>
      <w:r>
        <w:rPr>
          <w:rFonts w:eastAsia="Times New Roman"/>
        </w:rPr>
        <w:br/>
      </w:r>
      <w:r>
        <w:rPr>
          <w:rFonts w:eastAsia="Times New Roman"/>
        </w:rPr>
        <w:br/>
        <w:t xml:space="preserve">Als derde praktijkgeval zouden we een situatie kunnen behandelen, waarin jullie een advies hebben uitgebracht over een voorziening, bijvoorbeeld een gehandicapten parkeervoorziening en de betrokkene met een beroep op de AVG en WGBO jullie verwijt dat jullie in strijd met de AVG hebben gehandeld en jullie verzoekt om het gehele dossier te vernietigen. </w:t>
      </w:r>
      <w:r>
        <w:rPr>
          <w:rFonts w:eastAsia="Times New Roman"/>
        </w:rPr>
        <w:br/>
      </w:r>
      <w:r>
        <w:rPr>
          <w:rFonts w:eastAsia="Times New Roman"/>
        </w:rPr>
        <w:br/>
        <w:t>Bij de voorbereiding van de scholing werk ik de casus en de bij jullie levende vragen graag verder met jou of een collega uit, zodat deze zo goed mogelijk aansluiten op jullie praktijk en behoefte.</w:t>
      </w:r>
      <w:r>
        <w:rPr>
          <w:rFonts w:eastAsia="Times New Roman"/>
        </w:rPr>
        <w:br/>
      </w:r>
      <w:r>
        <w:rPr>
          <w:rFonts w:eastAsia="Times New Roman"/>
        </w:rPr>
        <w:br/>
      </w:r>
      <w:r>
        <w:rPr>
          <w:rFonts w:eastAsia="Times New Roman"/>
        </w:rPr>
        <w:br/>
      </w:r>
      <w:r>
        <w:rPr>
          <w:rFonts w:eastAsia="Times New Roman"/>
        </w:rPr>
        <w:br/>
        <w:t>Met hartelijke groet,</w:t>
      </w:r>
      <w:r>
        <w:rPr>
          <w:rFonts w:eastAsia="Times New Roman"/>
        </w:rPr>
        <w:br/>
      </w:r>
      <w:proofErr w:type="spellStart"/>
      <w:r>
        <w:rPr>
          <w:rFonts w:eastAsia="Times New Roman"/>
        </w:rPr>
        <w:t>VvAA</w:t>
      </w:r>
      <w:proofErr w:type="spellEnd"/>
      <w:r>
        <w:rPr>
          <w:rFonts w:eastAsia="Times New Roman"/>
        </w:rPr>
        <w:t xml:space="preserve"> Juridisch Advies en Rechtsbijstand  </w:t>
      </w:r>
      <w:r>
        <w:rPr>
          <w:rFonts w:eastAsia="Times New Roman"/>
        </w:rPr>
        <w:br/>
      </w:r>
      <w:r>
        <w:rPr>
          <w:rFonts w:eastAsia="Times New Roman"/>
        </w:rPr>
        <w:br/>
        <w:t>mr. Annemarie Smilde</w:t>
      </w:r>
      <w:r>
        <w:rPr>
          <w:rFonts w:eastAsia="Times New Roman"/>
        </w:rPr>
        <w:br/>
        <w:t>senior specialist gezondheidsrecht</w:t>
      </w:r>
      <w:r>
        <w:rPr>
          <w:rFonts w:eastAsia="Times New Roman"/>
        </w:rPr>
        <w:br/>
        <w:t>06 5074 23 38</w:t>
      </w:r>
      <w:r>
        <w:rPr>
          <w:rFonts w:eastAsia="Times New Roman"/>
        </w:rPr>
        <w:br/>
      </w:r>
    </w:p>
    <w:sectPr w:rsidR="008A053C" w:rsidRPr="008A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3C"/>
    <w:rsid w:val="00234C31"/>
    <w:rsid w:val="00251E64"/>
    <w:rsid w:val="002B33D7"/>
    <w:rsid w:val="00566C8D"/>
    <w:rsid w:val="007047E3"/>
    <w:rsid w:val="007E5137"/>
    <w:rsid w:val="008A053C"/>
    <w:rsid w:val="00A5300C"/>
    <w:rsid w:val="00A80D1E"/>
    <w:rsid w:val="00D2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5F639-8F20-4C69-A36A-433EDA1A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8A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Hondel, Karen van den</dc:creator>
  <cp:lastModifiedBy>Spits, Margot</cp:lastModifiedBy>
  <cp:revision>2</cp:revision>
  <dcterms:created xsi:type="dcterms:W3CDTF">2021-01-06T13:05:00Z</dcterms:created>
  <dcterms:modified xsi:type="dcterms:W3CDTF">2021-01-06T13:05:00Z</dcterms:modified>
</cp:coreProperties>
</file>